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77116F2F" w:rsidR="00EE1EBB" w:rsidRPr="00B42DF9" w:rsidRDefault="00744E33" w:rsidP="005919D3">
      <w:pPr>
        <w:pStyle w:val="Head"/>
        <w:rPr>
          <w:lang w:val="fr-FR"/>
        </w:rPr>
      </w:pPr>
      <w:proofErr w:type="spellStart"/>
      <w:r>
        <w:rPr>
          <w:lang w:val="es-ES"/>
        </w:rPr>
        <w:t>Hamm</w:t>
      </w:r>
      <w:proofErr w:type="spellEnd"/>
      <w:r>
        <w:rPr>
          <w:lang w:val="es-ES"/>
        </w:rPr>
        <w:t xml:space="preserve"> | Los rodillos tándem con baterías eléctricas muestran sus puntos fuertes sobre el terreno </w:t>
      </w:r>
    </w:p>
    <w:p w14:paraId="4C5B0A37" w14:textId="635EA8D1" w:rsidR="00C13838" w:rsidRPr="00B42DF9" w:rsidRDefault="00DC2B84" w:rsidP="00C13838">
      <w:pPr>
        <w:pStyle w:val="Subhead"/>
        <w:rPr>
          <w:lang w:val="fr-FR"/>
        </w:rPr>
      </w:pPr>
      <w:r>
        <w:rPr>
          <w:bCs/>
          <w:iCs w:val="0"/>
          <w:lang w:val="es-ES"/>
        </w:rPr>
        <w:t>Las aplicaciones de HD 10e - HD 12e sin emisiones locales en Suecia, Países Bajos y Alemania</w:t>
      </w:r>
    </w:p>
    <w:p w14:paraId="67AB58B2" w14:textId="18735FD5" w:rsidR="00C13838" w:rsidRPr="00B42DF9" w:rsidRDefault="00C13838" w:rsidP="0065385B">
      <w:pPr>
        <w:pStyle w:val="Teaser"/>
        <w:rPr>
          <w:rStyle w:val="apple-converted-space"/>
          <w:color w:val="000000" w:themeColor="text1"/>
          <w:szCs w:val="20"/>
          <w:shd w:val="clear" w:color="auto" w:fill="FFFFFF"/>
          <w:lang w:val="fr-FR"/>
        </w:rPr>
      </w:pPr>
      <w:r>
        <w:rPr>
          <w:bCs/>
          <w:lang w:val="es-ES"/>
        </w:rPr>
        <w:t>Desde su estreno mundial en la feria Bauma 2022, los rodillos eléctricos compactos convencen cada día en la construcción de carreteras y en el ámbito de la jardinería y paisajismo. Entre las características más importantes que los clientes siempre mencionan es que son silenciosos</w:t>
      </w:r>
      <w:r>
        <w:rPr>
          <w:bCs/>
          <w:color w:val="000000" w:themeColor="text1"/>
          <w:lang w:val="es-ES"/>
        </w:rPr>
        <w:t xml:space="preserve">, disponen de una elevada potencia de compactación y apenas presentan cambios </w:t>
      </w:r>
      <w:r>
        <w:rPr>
          <w:bCs/>
          <w:lang w:val="es-ES"/>
        </w:rPr>
        <w:t xml:space="preserve">en el funcionamiento. Gracias a los rodillos tándem con accionamiento por baterías eléctricas, </w:t>
      </w:r>
      <w:proofErr w:type="spellStart"/>
      <w:r>
        <w:rPr>
          <w:bCs/>
          <w:lang w:val="es-ES"/>
        </w:rPr>
        <w:t>Hamm</w:t>
      </w:r>
      <w:proofErr w:type="spellEnd"/>
      <w:r>
        <w:rPr>
          <w:bCs/>
          <w:lang w:val="es-ES"/>
        </w:rPr>
        <w:t xml:space="preserve"> ha marcado un hito en la industria de la compactación en términos de sostenibilidad.</w:t>
      </w:r>
      <w:r>
        <w:rPr>
          <w:rStyle w:val="apple-converted-space"/>
          <w:bCs/>
          <w:color w:val="000000" w:themeColor="text1"/>
          <w:szCs w:val="20"/>
          <w:shd w:val="clear" w:color="auto" w:fill="FFFFFF"/>
          <w:lang w:val="es-ES"/>
        </w:rPr>
        <w:t> </w:t>
      </w:r>
    </w:p>
    <w:p w14:paraId="3376822D" w14:textId="77777777" w:rsidR="00C13838" w:rsidRPr="00B42DF9" w:rsidRDefault="00C13838" w:rsidP="00F5778B">
      <w:pPr>
        <w:pStyle w:val="Teaserhead"/>
        <w:rPr>
          <w:lang w:val="fr-FR"/>
        </w:rPr>
      </w:pPr>
      <w:r>
        <w:rPr>
          <w:bCs/>
          <w:lang w:val="es-ES"/>
        </w:rPr>
        <w:t xml:space="preserve">Demanda de la HD </w:t>
      </w:r>
      <w:proofErr w:type="spellStart"/>
      <w:r>
        <w:rPr>
          <w:bCs/>
          <w:lang w:val="es-ES"/>
        </w:rPr>
        <w:t>CompactLine</w:t>
      </w:r>
      <w:proofErr w:type="spellEnd"/>
      <w:r>
        <w:rPr>
          <w:bCs/>
          <w:lang w:val="es-ES"/>
        </w:rPr>
        <w:t xml:space="preserve"> con accionamiento eléctrico en Europa</w:t>
      </w:r>
    </w:p>
    <w:p w14:paraId="646CC632" w14:textId="2921CB12" w:rsidR="00C13838" w:rsidRPr="00B42DF9" w:rsidRDefault="00C13838" w:rsidP="00C13838">
      <w:pPr>
        <w:pStyle w:val="Standardabsatz"/>
        <w:rPr>
          <w:lang w:val="fr-FR"/>
        </w:rPr>
      </w:pPr>
      <w:r>
        <w:rPr>
          <w:lang w:val="es-ES"/>
        </w:rPr>
        <w:t xml:space="preserve">La demanda de rodillos sin emisiones por parte de los clientes confirma el cambio de mentalidad mundial hacia soluciones de propulsión respetuosas con el clima. Los rodillos con accionamiento eléctrico de </w:t>
      </w:r>
      <w:proofErr w:type="spellStart"/>
      <w:r>
        <w:rPr>
          <w:lang w:val="es-ES"/>
        </w:rPr>
        <w:t>Hamm</w:t>
      </w:r>
      <w:proofErr w:type="spellEnd"/>
      <w:r>
        <w:rPr>
          <w:lang w:val="es-ES"/>
        </w:rPr>
        <w:t xml:space="preserve"> están disponibles por ahora en la región DACH, Europa Central y Escandinavia. Los modelos compactos cuentan con la misma potencia de compactación que sus modelos hermanos con motor de combustión, pero funcionan sin emisiones </w:t>
      </w:r>
      <w:r>
        <w:rPr>
          <w:color w:val="000000" w:themeColor="text1"/>
          <w:lang w:val="es-ES"/>
        </w:rPr>
        <w:t>locales</w:t>
      </w:r>
      <w:r>
        <w:rPr>
          <w:color w:val="F79646" w:themeColor="accent6"/>
          <w:lang w:val="es-ES"/>
        </w:rPr>
        <w:t>.</w:t>
      </w:r>
      <w:r>
        <w:rPr>
          <w:lang w:val="es-ES"/>
        </w:rPr>
        <w:t xml:space="preserve"> El funcionamiento de los rodillos eléctricos es prácticamente idéntico al de los otros modelos de la Serie HD </w:t>
      </w:r>
      <w:proofErr w:type="spellStart"/>
      <w:r>
        <w:rPr>
          <w:lang w:val="es-ES"/>
        </w:rPr>
        <w:t>CompactLine</w:t>
      </w:r>
      <w:proofErr w:type="spellEnd"/>
      <w:r>
        <w:rPr>
          <w:lang w:val="es-ES"/>
        </w:rPr>
        <w:t xml:space="preserve">. En total hay disponibles 8 rodillos tándem, algunos con tambores de oscilación. </w:t>
      </w:r>
    </w:p>
    <w:p w14:paraId="3BFC61CD" w14:textId="7946CC3C" w:rsidR="00C13838" w:rsidRPr="00B42DF9" w:rsidRDefault="00C13838" w:rsidP="00E56B10">
      <w:pPr>
        <w:pStyle w:val="Teaserhead"/>
        <w:rPr>
          <w:lang w:val="fr-FR"/>
        </w:rPr>
      </w:pPr>
      <w:r>
        <w:rPr>
          <w:bCs/>
          <w:lang w:val="es-ES"/>
        </w:rPr>
        <w:t>Energía para una jornada laboral normal</w:t>
      </w:r>
    </w:p>
    <w:p w14:paraId="5C40D60E" w14:textId="2530FD51" w:rsidR="00C13838" w:rsidRPr="00B42DF9" w:rsidRDefault="00035D84" w:rsidP="00C13838">
      <w:pPr>
        <w:pStyle w:val="Standardabsatz"/>
        <w:rPr>
          <w:lang w:val="fr-FR"/>
        </w:rPr>
      </w:pPr>
      <w:proofErr w:type="spellStart"/>
      <w:r>
        <w:rPr>
          <w:lang w:val="es-ES"/>
        </w:rPr>
        <w:t>Hamm</w:t>
      </w:r>
      <w:proofErr w:type="spellEnd"/>
      <w:r>
        <w:rPr>
          <w:lang w:val="es-ES"/>
        </w:rPr>
        <w:t xml:space="preserve"> ha resuelto de forma óptima el tema de la eficiencia energética y la disponibilidad de energía gracias a los rodillos tándem con baterías eléctricas. El sistema de bajo voltaje suministra la energía necesaria para funcionar a temperaturas ambiente de hasta 45 °C. Con temperaturas inferiores a 0 °C, la batería se calienta. Una batería de iones de litio con una capacidad de 23,4 kWh suministra la energía para los motores de tracción, dirección y vibración u oscilación mediante un sistema de 48 V y ofrece energía suficiente para un día de trabajo habitual. Para que pueda utilizarse al día siguiente, la batería puede cargarse durante la noche. La carga de la batería del 0 % al 100 % con 400 V con un enchufe de carga rápida solo requiere aprox. 4 horas. </w:t>
      </w:r>
    </w:p>
    <w:p w14:paraId="3E60B618" w14:textId="45A05C5B" w:rsidR="00C13838" w:rsidRPr="00B42DF9" w:rsidRDefault="00B67678" w:rsidP="00C13838">
      <w:pPr>
        <w:pStyle w:val="Teaserhead"/>
        <w:rPr>
          <w:lang w:val="fr-FR"/>
        </w:rPr>
      </w:pPr>
      <w:r>
        <w:rPr>
          <w:bCs/>
          <w:lang w:val="es-ES"/>
        </w:rPr>
        <w:t>Sin emisiones locales y silencioso: un alivio para las personas y el medio ambiente</w:t>
      </w:r>
    </w:p>
    <w:p w14:paraId="21FDA0EE" w14:textId="29CA8288" w:rsidR="00B42DF9" w:rsidRDefault="00C13838" w:rsidP="00130749">
      <w:pPr>
        <w:pStyle w:val="Standardabsatz"/>
        <w:rPr>
          <w:lang w:val="es-ES"/>
        </w:rPr>
      </w:pPr>
      <w:r>
        <w:rPr>
          <w:lang w:val="es-ES"/>
        </w:rPr>
        <w:t xml:space="preserve">Cuatro modelos eléctricos de </w:t>
      </w:r>
      <w:proofErr w:type="spellStart"/>
      <w:r>
        <w:rPr>
          <w:lang w:val="es-ES"/>
        </w:rPr>
        <w:t>Hamm</w:t>
      </w:r>
      <w:proofErr w:type="spellEnd"/>
      <w:r>
        <w:rPr>
          <w:lang w:val="es-ES"/>
        </w:rPr>
        <w:t xml:space="preserve"> están equipados con tambores de oscilación, entre ellos, dos rodillos combinados. Aquí convergen la ya silenciosa oscilación con el silencioso accionamiento eléctrico. El resultado son equipos de compactación silenciosos que apenas generan vibraciones en el entorno. Son ideales para la compactación en zonas sensibles a las vibraciones y al ruido, por ejemplo, alrededor de hospitales o edificios históricos. </w:t>
      </w:r>
    </w:p>
    <w:p w14:paraId="58FE771E" w14:textId="77777777" w:rsidR="00B42DF9" w:rsidRDefault="00B42DF9">
      <w:pPr>
        <w:rPr>
          <w:rFonts w:eastAsiaTheme="minorHAnsi" w:cstheme="minorBidi"/>
          <w:sz w:val="22"/>
          <w:szCs w:val="24"/>
          <w:lang w:val="es-ES"/>
        </w:rPr>
      </w:pPr>
      <w:r>
        <w:rPr>
          <w:lang w:val="es-ES"/>
        </w:rPr>
        <w:br w:type="page"/>
      </w:r>
    </w:p>
    <w:p w14:paraId="6B327638" w14:textId="65E71D21" w:rsidR="00C13838" w:rsidRPr="00B42DF9" w:rsidRDefault="00C13838" w:rsidP="00130749">
      <w:pPr>
        <w:pStyle w:val="Teaserhead"/>
        <w:rPr>
          <w:lang w:val="fr-FR"/>
        </w:rPr>
      </w:pPr>
      <w:r>
        <w:rPr>
          <w:bCs/>
          <w:lang w:val="es-ES"/>
        </w:rPr>
        <w:lastRenderedPageBreak/>
        <w:t>Rentabilidad con componentes eléctricos que no requieren mantenimiento</w:t>
      </w:r>
    </w:p>
    <w:p w14:paraId="09EE27A7" w14:textId="4E16AEF6" w:rsidR="00C13838" w:rsidRPr="00B42DF9" w:rsidRDefault="00C13838" w:rsidP="00C13838">
      <w:pPr>
        <w:pStyle w:val="Standardabsatz"/>
        <w:rPr>
          <w:lang w:val="es-ES"/>
        </w:rPr>
      </w:pPr>
      <w:r>
        <w:rPr>
          <w:lang w:val="es-ES"/>
        </w:rPr>
        <w:t xml:space="preserve">El accionamiento de la unidad de vibración o de oscilación es puramente eléctrico mediante motores síncronos especiales y compactos. Esto duplica con creces la eficiencia y reduce en consecuencia el consumo de energía. Gracias a la amplia electrificación, el volumen de aceite hidráulico se ha reducido en más de un 70 %. </w:t>
      </w:r>
      <w:r>
        <w:rPr>
          <w:lang w:val="es-ES"/>
        </w:rPr>
        <w:br/>
        <w:t xml:space="preserve">Mediante la recuperación, una gran parte de la energía de frenado se devuelve al sistema. En general, solo hay unas pocas piezas de desgaste a bordo. Todos los componentes electrónicos, como la batería, los motores eléctricos, los inversores o los convertidores CC-CC, no requieren ningún tipo de mantenimiento. </w:t>
      </w:r>
    </w:p>
    <w:p w14:paraId="1073D4F6" w14:textId="77777777" w:rsidR="00C13838" w:rsidRPr="00B42DF9" w:rsidRDefault="00C13838" w:rsidP="00C13838">
      <w:pPr>
        <w:pStyle w:val="Teaserhead"/>
        <w:rPr>
          <w:lang w:val="fr-FR"/>
        </w:rPr>
      </w:pPr>
      <w:r>
        <w:rPr>
          <w:bCs/>
          <w:lang w:val="es-ES"/>
        </w:rPr>
        <w:t>El concepto global sostenible consigue un elevado ahorro energético</w:t>
      </w:r>
    </w:p>
    <w:p w14:paraId="5A273F9C" w14:textId="144F66D1" w:rsidR="00CD5A63" w:rsidRPr="00B42DF9" w:rsidRDefault="00C13838" w:rsidP="00C13838">
      <w:pPr>
        <w:pStyle w:val="Standardabsatz"/>
        <w:rPr>
          <w:lang w:val="fr-FR"/>
        </w:rPr>
      </w:pPr>
      <w:proofErr w:type="spellStart"/>
      <w:r>
        <w:rPr>
          <w:lang w:val="es-ES"/>
        </w:rPr>
        <w:t>Hamm</w:t>
      </w:r>
      <w:proofErr w:type="spellEnd"/>
      <w:r>
        <w:rPr>
          <w:lang w:val="es-ES"/>
        </w:rPr>
        <w:t xml:space="preserve"> se ha centrado en ahorrar recursos en cada detalle de los rodillos eléctricos. El sistema automático de parada del motor eléctrico ahorra una valiosa capacidad de la batería, al igual que el control de la velocidad de trabajo en el modo ECO. En posición de estacionamiento no se consume energía; el motor de la dirección solo se activa cuando se acciona la palanca de marcha eléctrica. La alta potencia está disponible constantemente y se puede recurrir a la potencia máxima en cualquier momento. El sistema de control de la máquina HAMMTRONIC supervisa y controla todos los componentes. De esta forma, el conductor podrá trabajar cómodamente y con precisión.</w:t>
      </w:r>
    </w:p>
    <w:p w14:paraId="7D84786A" w14:textId="77777777" w:rsidR="00EE1EBB" w:rsidRPr="00B42DF9" w:rsidRDefault="00EE1EBB" w:rsidP="00EE1EBB">
      <w:pPr>
        <w:pStyle w:val="Teaserhead"/>
        <w:rPr>
          <w:lang w:val="fr-FR"/>
        </w:rPr>
      </w:pPr>
      <w:r>
        <w:rPr>
          <w:bCs/>
          <w:lang w:val="es-ES"/>
        </w:rPr>
        <w:t>Ventajas de las licitaciones en Europa</w:t>
      </w:r>
    </w:p>
    <w:p w14:paraId="71466991" w14:textId="481E8F8E" w:rsidR="00EE1EBB" w:rsidRPr="00B42DF9" w:rsidRDefault="00EE1EBB" w:rsidP="00EE1EBB">
      <w:pPr>
        <w:pStyle w:val="Standardabsatz"/>
        <w:rPr>
          <w:lang w:val="fr-FR"/>
        </w:rPr>
      </w:pPr>
      <w:r>
        <w:rPr>
          <w:lang w:val="es-ES"/>
        </w:rPr>
        <w:t xml:space="preserve">En algunos países, las especificaciones relativas a las emisiones ya forman parte esencial de las licitaciones. Cuantas menos emisiones haya, mejor se valorará a las empresas constructoras en el proceso de adjudicación, por ejemplo, mediante un sistema de puntos. Algunos de estos sistemas de puntos ya están diseñados de tal manera que las empresas constructoras solo tienen posibilidades de que se les adjudique el contrato si utilizan máquinas accionadas con baterías eléctricas. </w:t>
      </w:r>
      <w:proofErr w:type="spellStart"/>
      <w:r>
        <w:rPr>
          <w:lang w:val="es-ES"/>
        </w:rPr>
        <w:t>Hamm</w:t>
      </w:r>
      <w:proofErr w:type="spellEnd"/>
      <w:r>
        <w:rPr>
          <w:lang w:val="es-ES"/>
        </w:rPr>
        <w:t xml:space="preserve"> ofrece las soluciones adecuadas con sus rodillos eléctricos para optar a la licitación.</w:t>
      </w:r>
    </w:p>
    <w:p w14:paraId="1B52AA6F" w14:textId="65F30571" w:rsidR="00C13838" w:rsidRPr="00B42DF9" w:rsidRDefault="00E15EBE" w:rsidP="00C13838">
      <w:pPr>
        <w:pStyle w:val="Fotos"/>
        <w:rPr>
          <w:lang w:val="fr-FR"/>
        </w:rPr>
      </w:pPr>
      <w:r>
        <w:rPr>
          <w:bCs/>
          <w:lang w:val="es-ES"/>
        </w:rPr>
        <w:t>Fotos:</w:t>
      </w:r>
    </w:p>
    <w:p w14:paraId="4D612D4E" w14:textId="5308A3C4" w:rsidR="00C13838" w:rsidRPr="00B42DF9" w:rsidRDefault="002179F8" w:rsidP="00C13838">
      <w:pPr>
        <w:pStyle w:val="BUbold"/>
        <w:rPr>
          <w:color w:val="FF0000"/>
          <w:lang w:val="fr-FR"/>
        </w:rPr>
      </w:pPr>
      <w:r>
        <w:rPr>
          <w:b w:val="0"/>
          <w:noProof/>
          <w:lang w:val="es-ES"/>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s-ES"/>
        </w:rPr>
        <w:br/>
      </w:r>
      <w:r>
        <w:rPr>
          <w:bCs/>
          <w:color w:val="000000" w:themeColor="text1"/>
          <w:lang w:val="es-ES"/>
        </w:rPr>
        <w:t xml:space="preserve">HAMM_HD10e–HD12e_01 </w:t>
      </w:r>
    </w:p>
    <w:p w14:paraId="2413E008" w14:textId="15DBF6FE" w:rsidR="00C13838" w:rsidRPr="00B42DF9" w:rsidRDefault="00F5778B" w:rsidP="00C13838">
      <w:pPr>
        <w:pStyle w:val="BUnormal"/>
        <w:rPr>
          <w:color w:val="000000" w:themeColor="text1"/>
          <w:shd w:val="clear" w:color="auto" w:fill="FFFFFF"/>
          <w:lang w:val="fr-FR"/>
        </w:rPr>
      </w:pPr>
      <w:r>
        <w:rPr>
          <w:lang w:val="es-ES"/>
        </w:rPr>
        <w:t xml:space="preserve">Los nuevos rodillos tándem con baterías eléctricas de la Serie HD </w:t>
      </w:r>
      <w:proofErr w:type="spellStart"/>
      <w:r>
        <w:rPr>
          <w:lang w:val="es-ES"/>
        </w:rPr>
        <w:t>CompactLine</w:t>
      </w:r>
      <w:proofErr w:type="spellEnd"/>
      <w:r>
        <w:rPr>
          <w:lang w:val="es-ES"/>
        </w:rPr>
        <w:t xml:space="preserve"> de </w:t>
      </w:r>
      <w:proofErr w:type="spellStart"/>
      <w:r>
        <w:rPr>
          <w:lang w:val="es-ES"/>
        </w:rPr>
        <w:t>Hamm</w:t>
      </w:r>
      <w:proofErr w:type="spellEnd"/>
      <w:r>
        <w:rPr>
          <w:lang w:val="es-ES"/>
        </w:rPr>
        <w:t xml:space="preserve"> son adecuados </w:t>
      </w:r>
      <w:r>
        <w:rPr>
          <w:shd w:val="clear" w:color="auto" w:fill="FFFFFF"/>
          <w:lang w:val="es-ES"/>
        </w:rPr>
        <w:t>para tareas versátiles en la construcción de carreteras o al ámbito de la jardinería y paisajismo.</w:t>
      </w:r>
      <w:r>
        <w:rPr>
          <w:rStyle w:val="apple-converted-space"/>
          <w:color w:val="000000" w:themeColor="text1"/>
          <w:shd w:val="clear" w:color="auto" w:fill="FFFFFF"/>
          <w:lang w:val="es-ES"/>
        </w:rPr>
        <w:t> </w:t>
      </w:r>
      <w:r>
        <w:rPr>
          <w:rStyle w:val="apple-converted-space"/>
          <w:color w:val="000000" w:themeColor="text1"/>
          <w:shd w:val="clear" w:color="auto" w:fill="FFFFFF"/>
          <w:lang w:val="es-ES"/>
        </w:rPr>
        <w:br/>
      </w:r>
    </w:p>
    <w:p w14:paraId="29864C74" w14:textId="0D7F6D93" w:rsidR="00C13838" w:rsidRPr="00B42DF9" w:rsidRDefault="002179F8" w:rsidP="00C13838">
      <w:pPr>
        <w:pStyle w:val="BUbold"/>
        <w:rPr>
          <w:color w:val="000000" w:themeColor="text1"/>
          <w:lang w:val="fr-FR"/>
        </w:rPr>
      </w:pPr>
      <w:r>
        <w:rPr>
          <w:b w:val="0"/>
          <w:noProof/>
          <w:lang w:val="es-ES"/>
        </w:rPr>
        <w:lastRenderedPageBreak/>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s-ES"/>
        </w:rPr>
        <w:br/>
      </w:r>
      <w:r>
        <w:rPr>
          <w:bCs/>
          <w:color w:val="000000" w:themeColor="text1"/>
          <w:lang w:val="es-ES"/>
        </w:rPr>
        <w:t xml:space="preserve">HAMM_HD10e–HD12e_02 </w:t>
      </w:r>
    </w:p>
    <w:p w14:paraId="0AE86F02" w14:textId="28705B73" w:rsidR="0066016F" w:rsidRPr="00B42DF9" w:rsidRDefault="0066016F" w:rsidP="0066016F">
      <w:pPr>
        <w:pStyle w:val="BUnormal"/>
        <w:rPr>
          <w:lang w:val="fr-FR"/>
        </w:rPr>
      </w:pPr>
      <w:r>
        <w:rPr>
          <w:lang w:val="es-ES"/>
        </w:rPr>
        <w:t xml:space="preserve">«La máquina trabaja muy silenciosamente y sigue teniendo una gran fuerza de compactación, no noté ninguna diferencia. También me gusta que el funcionamiento sea el mismo que el de una máquina diésel. Pude empezar a conducir de inmediato como de costumbre. También me ha gustado mucho el comportamiento de la conducción y la dirección», explica Vincent van </w:t>
      </w:r>
      <w:proofErr w:type="spellStart"/>
      <w:r>
        <w:rPr>
          <w:lang w:val="es-ES"/>
        </w:rPr>
        <w:t>Tiul</w:t>
      </w:r>
      <w:proofErr w:type="spellEnd"/>
      <w:r>
        <w:rPr>
          <w:lang w:val="es-ES"/>
        </w:rPr>
        <w:t xml:space="preserve">, conductor durante la aplicación en </w:t>
      </w:r>
      <w:proofErr w:type="spellStart"/>
      <w:r>
        <w:rPr>
          <w:lang w:val="es-ES"/>
        </w:rPr>
        <w:t>Mijdrecht</w:t>
      </w:r>
      <w:proofErr w:type="spellEnd"/>
      <w:r>
        <w:rPr>
          <w:lang w:val="es-ES"/>
        </w:rPr>
        <w:t xml:space="preserve">, en Países Bajos. </w:t>
      </w:r>
    </w:p>
    <w:p w14:paraId="639DAAF6" w14:textId="196DAD20" w:rsidR="00C13838" w:rsidRPr="00B42DF9" w:rsidRDefault="002179F8" w:rsidP="00C13838">
      <w:pPr>
        <w:pStyle w:val="BUbold"/>
        <w:rPr>
          <w:lang w:val="fr-FR"/>
        </w:rPr>
      </w:pPr>
      <w:r>
        <w:rPr>
          <w:b w:val="0"/>
          <w:noProof/>
          <w:lang w:val="es-ES"/>
        </w:rPr>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s-ES"/>
        </w:rPr>
        <w:br/>
      </w:r>
      <w:r>
        <w:rPr>
          <w:bCs/>
          <w:color w:val="000000" w:themeColor="text1"/>
          <w:lang w:val="es-ES"/>
        </w:rPr>
        <w:t>HAMM_HD10e–HD12e_03</w:t>
      </w:r>
    </w:p>
    <w:p w14:paraId="53695798" w14:textId="3FFFF536" w:rsidR="006F413F" w:rsidRDefault="00640D87" w:rsidP="006F413F">
      <w:pPr>
        <w:pStyle w:val="BUnormal"/>
        <w:rPr>
          <w:color w:val="000000" w:themeColor="text1"/>
          <w:lang w:val="es-ES"/>
        </w:rPr>
      </w:pPr>
      <w:r>
        <w:rPr>
          <w:color w:val="000000" w:themeColor="text1"/>
          <w:lang w:val="es-ES"/>
        </w:rPr>
        <w:t xml:space="preserve">Los rodillos tándem sin emisiones locales de la Serie HD </w:t>
      </w:r>
      <w:proofErr w:type="spellStart"/>
      <w:r>
        <w:rPr>
          <w:color w:val="000000" w:themeColor="text1"/>
          <w:lang w:val="es-ES"/>
        </w:rPr>
        <w:t>CompactLine</w:t>
      </w:r>
      <w:proofErr w:type="spellEnd"/>
      <w:r>
        <w:rPr>
          <w:color w:val="000000" w:themeColor="text1"/>
          <w:lang w:val="es-ES"/>
        </w:rPr>
        <w:t xml:space="preserve"> ofrecen una elevada potencia de compactación incluso a bajas temperaturas, como en Suecia.</w:t>
      </w:r>
    </w:p>
    <w:p w14:paraId="596EE604" w14:textId="77777777" w:rsidR="00280233" w:rsidRPr="00280233" w:rsidRDefault="00280233" w:rsidP="00280233">
      <w:pPr>
        <w:pStyle w:val="Note"/>
        <w:rPr>
          <w:lang w:val="es-ES"/>
        </w:rPr>
      </w:pPr>
    </w:p>
    <w:p w14:paraId="21104721" w14:textId="5E874075" w:rsidR="005148E4" w:rsidRPr="00B42DF9" w:rsidRDefault="005148E4" w:rsidP="005148E4">
      <w:pPr>
        <w:pStyle w:val="Note"/>
        <w:rPr>
          <w:lang w:val="fr-FR"/>
        </w:rPr>
      </w:pPr>
      <w:r>
        <w:rPr>
          <w:iCs/>
          <w:lang w:val="es-ES"/>
        </w:rPr>
        <w:t>Nota: Esta foto se ofrece únicamente como vista previa. Para la impresión en las publicaciones, emplear las fotos en una resolución de 300 dpi que se encuentran disponibles para su descarga en las páginas web de Wirtgen Group.</w:t>
      </w:r>
    </w:p>
    <w:p w14:paraId="05C0A891" w14:textId="77777777" w:rsidR="00640D87" w:rsidRPr="00B42DF9" w:rsidRDefault="00640D87" w:rsidP="00640D87">
      <w:pPr>
        <w:pStyle w:val="Standardabsatz"/>
        <w:rPr>
          <w:lang w:val="fr-FR"/>
        </w:rPr>
      </w:pPr>
    </w:p>
    <w:p w14:paraId="08856E85" w14:textId="4DB98AA5" w:rsidR="00E15EBE" w:rsidRPr="00B42DF9" w:rsidRDefault="00E15EBE" w:rsidP="005148E4">
      <w:pPr>
        <w:pStyle w:val="Teaserhead"/>
        <w:rPr>
          <w:lang w:val="fr-FR"/>
        </w:rPr>
      </w:pPr>
      <w:r>
        <w:rPr>
          <w:bCs/>
          <w:lang w:val="es-ES"/>
        </w:rPr>
        <w:t>Puede obtener información ampliada en:</w:t>
      </w:r>
    </w:p>
    <w:p w14:paraId="01ED9A45" w14:textId="77777777" w:rsidR="00E15EBE" w:rsidRPr="00B42DF9" w:rsidRDefault="00E15EBE" w:rsidP="00E15EBE">
      <w:pPr>
        <w:pStyle w:val="Absatzberschrift"/>
        <w:rPr>
          <w:lang w:val="fr-FR"/>
        </w:rPr>
      </w:pPr>
    </w:p>
    <w:p w14:paraId="1343F427" w14:textId="77777777" w:rsidR="00E15EBE" w:rsidRPr="002B783A" w:rsidRDefault="00E15EBE" w:rsidP="00E15EBE">
      <w:pPr>
        <w:pStyle w:val="Absatzberschrift"/>
        <w:rPr>
          <w:b w:val="0"/>
          <w:bCs/>
          <w:szCs w:val="22"/>
        </w:rPr>
      </w:pPr>
      <w:r>
        <w:rPr>
          <w:b w:val="0"/>
          <w:lang w:val="es-ES"/>
        </w:rPr>
        <w:t>WIRTGEN GROUP</w:t>
      </w:r>
    </w:p>
    <w:p w14:paraId="30FA40A8" w14:textId="77777777" w:rsidR="00E15EBE" w:rsidRDefault="00E15EBE" w:rsidP="00E15EBE">
      <w:pPr>
        <w:pStyle w:val="Fuzeile1"/>
      </w:pPr>
      <w:r>
        <w:rPr>
          <w:bCs w:val="0"/>
          <w:iCs w:val="0"/>
          <w:lang w:val="es-ES"/>
        </w:rPr>
        <w:t>Public Relations</w:t>
      </w:r>
    </w:p>
    <w:p w14:paraId="0B8F3843" w14:textId="77777777" w:rsidR="00E15EBE" w:rsidRDefault="00E15EBE" w:rsidP="00E15EBE">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106E23E8" w14:textId="77777777" w:rsidR="00E15EBE" w:rsidRDefault="00E15EBE" w:rsidP="00E15EBE">
      <w:pPr>
        <w:pStyle w:val="Fuzeile1"/>
      </w:pPr>
      <w:r>
        <w:rPr>
          <w:bCs w:val="0"/>
          <w:iCs w:val="0"/>
          <w:lang w:val="es-ES"/>
        </w:rPr>
        <w:t>53578 Windhagen</w:t>
      </w:r>
    </w:p>
    <w:p w14:paraId="6C642C48" w14:textId="77777777" w:rsidR="00E15EBE" w:rsidRDefault="00E15EBE" w:rsidP="00E15EBE">
      <w:pPr>
        <w:pStyle w:val="Fuzeile1"/>
      </w:pPr>
      <w:r>
        <w:rPr>
          <w:bCs w:val="0"/>
          <w:iCs w:val="0"/>
          <w:lang w:val="es-ES"/>
        </w:rPr>
        <w:t>Alemania</w:t>
      </w:r>
    </w:p>
    <w:p w14:paraId="5A03BE6A" w14:textId="77777777" w:rsidR="00E15EBE" w:rsidRDefault="00E15EBE" w:rsidP="00E15EBE">
      <w:pPr>
        <w:pStyle w:val="Fuzeile1"/>
      </w:pPr>
    </w:p>
    <w:p w14:paraId="5CACD6E0" w14:textId="77777777" w:rsidR="00E15EBE" w:rsidRDefault="00E15EBE" w:rsidP="00E15EBE">
      <w:pPr>
        <w:pStyle w:val="Fuzeile1"/>
        <w:rPr>
          <w:rFonts w:ascii="Times New Roman" w:hAnsi="Times New Roman" w:cs="Times New Roman"/>
          <w:color w:val="FF0000"/>
        </w:rPr>
      </w:pPr>
      <w:r>
        <w:rPr>
          <w:bCs w:val="0"/>
          <w:iCs w:val="0"/>
          <w:lang w:val="es-ES"/>
        </w:rPr>
        <w:t xml:space="preserve">Teléfono: +49 (0) 2645 131 – 1966 </w:t>
      </w:r>
    </w:p>
    <w:p w14:paraId="6DBC3E91" w14:textId="77777777" w:rsidR="00E15EBE" w:rsidRDefault="00E15EBE" w:rsidP="00E15EBE">
      <w:pPr>
        <w:pStyle w:val="Fuzeile1"/>
      </w:pPr>
      <w:r>
        <w:rPr>
          <w:bCs w:val="0"/>
          <w:iCs w:val="0"/>
          <w:lang w:val="es-ES"/>
        </w:rPr>
        <w:t>Fax: +49 (0) 2645 131 – 499</w:t>
      </w:r>
    </w:p>
    <w:p w14:paraId="69B92FCB" w14:textId="77777777" w:rsidR="00E15EBE" w:rsidRDefault="00E15EBE" w:rsidP="00E15EBE">
      <w:pPr>
        <w:pStyle w:val="Fuzeile1"/>
      </w:pPr>
      <w:r>
        <w:rPr>
          <w:bCs w:val="0"/>
          <w:iCs w:val="0"/>
          <w:lang w:val="es-ES"/>
        </w:rPr>
        <w:t>E-mail: PR@wirtgen-group.com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Pr>
          <w:bCs w:val="0"/>
          <w:iCs w:val="0"/>
          <w:lang w:val="es-ES"/>
        </w:rPr>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64471902"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2 · D-53578 Windhagen · T: +49 26 45 / 131 0</w:t>
          </w:r>
        </w:p>
      </w:tc>
    </w:tr>
  </w:tbl>
  <w:p w14:paraId="4CEF92B2"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lang w:val="es-ES"/>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val="es-ES"/>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val="es-ES"/>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2" type="#_x0000_t75" style="width:1500pt;height:1500pt" o:bullet="t">
        <v:imagedata r:id="rId1" o:title="AZ_04a"/>
      </v:shape>
    </w:pict>
  </w:numPicBullet>
  <w:numPicBullet w:numPicBulletId="1">
    <w:pict>
      <v:shape id="_x0000_i15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B582B"/>
    <w:rsid w:val="000C4174"/>
    <w:rsid w:val="000C63C3"/>
    <w:rsid w:val="000D15C3"/>
    <w:rsid w:val="000E1F35"/>
    <w:rsid w:val="000E24F8"/>
    <w:rsid w:val="000E5738"/>
    <w:rsid w:val="000E60E9"/>
    <w:rsid w:val="000F0272"/>
    <w:rsid w:val="00103205"/>
    <w:rsid w:val="00107EEE"/>
    <w:rsid w:val="00110E00"/>
    <w:rsid w:val="001143AC"/>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0233"/>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F413F"/>
    <w:rsid w:val="006F66FD"/>
    <w:rsid w:val="006F7602"/>
    <w:rsid w:val="00705027"/>
    <w:rsid w:val="007128F8"/>
    <w:rsid w:val="00713ED7"/>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14DB"/>
    <w:rsid w:val="00A46F1E"/>
    <w:rsid w:val="00A5252A"/>
    <w:rsid w:val="00A526D5"/>
    <w:rsid w:val="00A54263"/>
    <w:rsid w:val="00A56B08"/>
    <w:rsid w:val="00A57382"/>
    <w:rsid w:val="00A66B3F"/>
    <w:rsid w:val="00A7111C"/>
    <w:rsid w:val="00A71A0F"/>
    <w:rsid w:val="00A82395"/>
    <w:rsid w:val="00A9295C"/>
    <w:rsid w:val="00A977CE"/>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42DF9"/>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55A3D"/>
    <w:rsid w:val="00D63D33"/>
    <w:rsid w:val="00D73352"/>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914D1"/>
    <w:rsid w:val="00E95F78"/>
    <w:rsid w:val="00E960D8"/>
    <w:rsid w:val="00EB5FCA"/>
    <w:rsid w:val="00EC2242"/>
    <w:rsid w:val="00EE1EBB"/>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Mario Linnemann</cp:lastModifiedBy>
  <cp:revision>2</cp:revision>
  <cp:lastPrinted>2023-10-09T05:55:00Z</cp:lastPrinted>
  <dcterms:created xsi:type="dcterms:W3CDTF">2023-11-09T14:12:00Z</dcterms:created>
  <dcterms:modified xsi:type="dcterms:W3CDTF">2023-11-09T14:12:00Z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